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3" w:rsidRPr="00AF49E3" w:rsidRDefault="00013F7F" w:rsidP="00AF49E3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F49E3" w:rsidRPr="00AF49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AF49E3" w:rsidRPr="00AF49E3">
        <w:rPr>
          <w:rFonts w:ascii="Times New Roman" w:hAnsi="Times New Roman" w:cs="Times New Roman"/>
          <w:sz w:val="28"/>
          <w:szCs w:val="28"/>
        </w:rPr>
        <w:t>ПРОЕКТ</w:t>
      </w:r>
    </w:p>
    <w:p w:rsidR="00AF49E3" w:rsidRDefault="00AF49E3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F49E3" w:rsidRDefault="00AF49E3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F49E3" w:rsidRDefault="00AF49E3" w:rsidP="00AF49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F49E3" w:rsidRDefault="00AF49E3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26309" w:rsidRDefault="00D2630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целевой Программы</w:t>
      </w:r>
    </w:p>
    <w:p w:rsidR="00D26309" w:rsidRDefault="00D2630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D26309" w:rsidRDefault="00D2630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 на 2018 - 2020 годы»</w:t>
      </w:r>
    </w:p>
    <w:p w:rsidR="00D26309" w:rsidRDefault="00D26309" w:rsidP="00D26309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D263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history="1">
        <w:r w:rsidRPr="00D263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администрация Куканского сельского поселения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 w:rsidRPr="00220DEB">
        <w:rPr>
          <w:rFonts w:ascii="Times New Roman" w:hAnsi="Times New Roman"/>
          <w:sz w:val="28"/>
          <w:szCs w:val="28"/>
        </w:rPr>
        <w:t>Хабаровского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 ПОСТАНОВЛЯЕТ: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целевую </w:t>
      </w:r>
      <w:hyperlink r:id="rId8" w:history="1">
        <w:r w:rsidRPr="00D263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D263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Pr="00D26309">
        <w:rPr>
          <w:rFonts w:ascii="Times New Roman" w:hAnsi="Times New Roman" w:cs="Times New Roman"/>
          <w:sz w:val="28"/>
          <w:szCs w:val="28"/>
        </w:rPr>
        <w:t>Куканского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2018 - 2020 годы».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и официальном сайте Куканского сельского поселения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 w:rsidRPr="00220DEB">
        <w:rPr>
          <w:rFonts w:ascii="Times New Roman" w:hAnsi="Times New Roman"/>
          <w:sz w:val="28"/>
          <w:szCs w:val="28"/>
        </w:rPr>
        <w:t>Хабаровского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 .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Е.М. Горбачева</w:t>
      </w:r>
    </w:p>
    <w:p w:rsidR="00D26309" w:rsidRDefault="00D26309" w:rsidP="00D26309">
      <w:pPr>
        <w:autoSpaceDE w:val="0"/>
        <w:spacing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УТВЕРЖДЕНА</w:t>
      </w:r>
    </w:p>
    <w:p w:rsidR="00D26309" w:rsidRDefault="00D2630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</w:t>
      </w: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целевая Программа</w:t>
      </w:r>
    </w:p>
    <w:p w:rsidR="00D26309" w:rsidRDefault="00D2630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D26309" w:rsidRDefault="00D2630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 на 2018 - 2020 годы»</w:t>
      </w:r>
    </w:p>
    <w:p w:rsidR="00D26309" w:rsidRDefault="00D26309" w:rsidP="00D26309">
      <w:pPr>
        <w:autoSpaceDE w:val="0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-50" w:type="dxa"/>
        <w:tblLayout w:type="fixed"/>
        <w:tblLook w:val="0000"/>
      </w:tblPr>
      <w:tblGrid>
        <w:gridCol w:w="476"/>
        <w:gridCol w:w="4785"/>
        <w:gridCol w:w="4409"/>
      </w:tblGrid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«Энергосбережение и повышение энергетической эффективности 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 xml:space="preserve">Куканского сельского поселения  на 2018 - 2020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 (далее по тексту - Программа).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D263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303D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0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Муниципальная целевая Программа «Энергосбережение и повышение энергетической эффективности 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>Куканского сельского поселения  на 2018 - 2020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по тексту - Программа).</w:t>
            </w:r>
          </w:p>
          <w:p w:rsidR="00D26309" w:rsidRDefault="00D2630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0" w:history="1">
              <w:r w:rsidRPr="00303D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26309" w:rsidRDefault="00D2630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303D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31.12.2009 № 1225 «О требованиях к региональным и муниципальным программам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энергосбережения и повышения энергетической эффективности»;</w:t>
            </w:r>
          </w:p>
          <w:p w:rsidR="00D26309" w:rsidRDefault="00D2630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Хабаровского муниципального района от 23.07.2010 № 2125 «Об утверждении муниципальной Программы «Энергосбережение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Хабаровского муниципального района Хабаровского края на 2010 - 2015 годы»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D263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при потреблении энергетических ресурсов бюджетными учреждениями и жилым фондом Куканского сельского поселения за счет снижения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5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п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роцесса повышения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энергопотребле</w:t>
            </w:r>
            <w:proofErr w:type="spellEnd"/>
            <w:r w:rsidR="00303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6309" w:rsidRPr="00303D15" w:rsidRDefault="00D26309" w:rsidP="00303D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активизирующих деятельность хозяйствующих субъектов по реализации потенциала энергосбережения.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реализации программных мероприятий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бюджетном секторе поселения;</w:t>
            </w:r>
          </w:p>
          <w:p w:rsidR="00D26309" w:rsidRPr="00303D15" w:rsidRDefault="00D26309" w:rsidP="00303D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инженерной инфраструктуры жилого фонда поселения.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Pr="00303D15" w:rsidRDefault="00D26309" w:rsidP="00303D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303D15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2018 - 2020</w:t>
            </w:r>
            <w:r w:rsidR="00D263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ения, </w:t>
            </w:r>
            <w:proofErr w:type="spellStart"/>
            <w:r w:rsidR="00303D15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5" w:rsidRDefault="00D26309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 Куканского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>260 тыс. руб., в том числе: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br/>
              <w:t>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303D15" w:rsidRDefault="00303D15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D26309">
              <w:rPr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63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D26309" w:rsidRDefault="00303D15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D26309">
              <w:rPr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263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уточнение    Программы   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 Программы ежегодно на основе результатов реализации Программы в прошедшем году и уточненных адресных планов реализации Программы в последующие годы.</w:t>
            </w:r>
          </w:p>
        </w:tc>
      </w:tr>
    </w:tbl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Технико-экономическое обоснование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</w:t>
      </w:r>
      <w:hyperlink r:id="rId12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эффективности российской экономики».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этого направления принят Федеральный </w:t>
      </w:r>
      <w:hyperlink r:id="rId13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23.11.2009   № 261-ФЗ «Об энергосбережении и о повышении энергетической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эффективности и о внесении изменений в отдельные законодательные акты Российской Федерации» и </w:t>
      </w:r>
      <w:hyperlink r:id="rId14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/>
          <w:sz w:val="28"/>
          <w:szCs w:val="28"/>
        </w:rPr>
        <w:t xml:space="preserve"> мероприятий по реализации Федерального </w:t>
      </w:r>
      <w:hyperlink r:id="rId15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>, утвержденный Распоряжением Правительства Российской Федерации от 01.12.2009 № 1830-р.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условиях одной из основных угроз социально-экономическому развитию сельского поселения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опережающему росту затрат на оплату коммунальных ресурсов в расходах на содержание муниципальных организаций и вызванному этим снижению эффективности оказания услуг.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самоуправления, имеющих полномочия в сфере регулирования электроэнергетики и коммунальных услуг.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ограниченностью источников финансирования программных мероприятий;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</w:t>
      </w:r>
      <w:r w:rsidR="00EF799F"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  <w:r>
        <w:rPr>
          <w:rFonts w:ascii="Times New Roman" w:hAnsi="Times New Roman"/>
          <w:sz w:val="28"/>
          <w:szCs w:val="28"/>
        </w:rPr>
        <w:t>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общего руководства реализацией Программы на муниципальном уровне разрабатывается, корректируется и реализуется Программа, которая организует работу на поселенческом уровне, обеспечивает контроль выполнения мероприятий, своевременно выявляет риски реализации Программы и предпринимает меры по их снижению.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повышение энергетической эффективности при потреблении энергетических ресурсов бюджетными учреждениями и жилым фондом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сельского поселения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в ходе реализации Программы органам местного самоуправления необходимо решить следующие задачи: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в Программу.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бюджетные учреждения и перейти на </w:t>
      </w:r>
      <w:r>
        <w:rPr>
          <w:rFonts w:ascii="Times New Roman" w:hAnsi="Times New Roman"/>
          <w:sz w:val="28"/>
          <w:szCs w:val="28"/>
        </w:rPr>
        <w:lastRenderedPageBreak/>
        <w:t>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Реализация энергосберегающих мероприятий при капитальном ремонте объектов бюджетной сферы поселения.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Указанные цели и задачи решаются впервые, и Программа не дублирует цели и задачи других действующих программ поселения.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программных мероприятий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Энергосбережение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бюджетном секторе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реализации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которые необходимо решить для достижения поставленной цели: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проведение энергетических обследований, ведение энергетических паспортов по объектам муниципальных организаций;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оснащение приборами учета коммунальных ресурсов и устройствами регулирования потребления тепловой энергии основные </w:t>
      </w:r>
      <w:proofErr w:type="spellStart"/>
      <w:r>
        <w:rPr>
          <w:rFonts w:ascii="Times New Roman" w:hAnsi="Times New Roman"/>
          <w:sz w:val="28"/>
          <w:szCs w:val="28"/>
        </w:rPr>
        <w:t>энергопотребляющие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мероприятий, содержание и структура настоящей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в Программу, внесены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Доступ к информации осуществляется через Интернет-портал </w:t>
      </w:r>
      <w:proofErr w:type="spellStart"/>
      <w:r>
        <w:rPr>
          <w:rFonts w:ascii="Times New Roman" w:hAnsi="Times New Roman"/>
          <w:sz w:val="28"/>
          <w:szCs w:val="28"/>
        </w:rPr>
        <w:t>energosber.info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Энергосбережение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системах коммунальной инфраструктуры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 сельского поселения «Село Новокуровка»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своих обязательств, а также задолженностью населения за потребленные услуги.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Первоочередного решения требуют следующие проблемы в жилищно-коммунальном хозяйстве муниципального образования: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износа основных фондов и коммуникаций;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существенное отставание развития жилищно-коммунального хозяйства поселения, отсутствие возможностей его финансирования;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высокие затраты на производство коммунальных услуг, неэффективность схем теплоснабжения,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высокозатратных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топлива;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повышенные потери ресурсов в сетевой инфраструктуре.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Типовые мероприятия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аудит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 с точки зрения выбранного критерия (снижение платы за энергоресурсы, сокращение потребления какого-либо вида энергоресурсов при сокращении лимитов, </w:t>
      </w:r>
      <w:r>
        <w:rPr>
          <w:rFonts w:ascii="Times New Roman" w:hAnsi="Times New Roman"/>
          <w:sz w:val="28"/>
          <w:szCs w:val="28"/>
        </w:rPr>
        <w:lastRenderedPageBreak/>
        <w:t>экология, обеспечение энергетической безопасности и т.п.) стратегия деятельности по реализации конкретных мероприятий.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мало затратных и организационных мероприятий позволяет достигнуть экономии топливно-энергетических ресурсов без привлечения внешнего финансирования.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мало затратные и организационные мероприятия снижают потребление энергоресурсов на</w:t>
      </w:r>
      <w:r w:rsidR="00EF799F">
        <w:rPr>
          <w:rFonts w:ascii="Times New Roman" w:hAnsi="Times New Roman"/>
          <w:sz w:val="28"/>
          <w:szCs w:val="28"/>
        </w:rPr>
        <w:t xml:space="preserve"> 3- 5 </w:t>
      </w:r>
      <w:r>
        <w:rPr>
          <w:rFonts w:ascii="Times New Roman" w:hAnsi="Times New Roman"/>
          <w:sz w:val="28"/>
          <w:szCs w:val="28"/>
        </w:rPr>
        <w:t>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окон на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конструкции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оконные конструкции (пластиковые, металлодеревянные, алюминиевые) обеспечивают снижение тепло потерь через окна в 1,2 - 1,5 раза по сравнению с традиционными деревянными окнами. Одновременно в 5 - 6 раз уменьшается проникновение наружного воздуха в помещения (инфильтрация).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замены окон длительная, не менее 10-ти лет.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тепла на отопление на 10 - 20%.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утепление зданий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Здания, построенные в 50 - 80-х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3 - 3,5 раза выше. Реконструкция зданий с утеплением наружных стен позволяет снизить потребление тепловой энергии как минимум на 10 - 15%.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мероприятия длительный: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</w:t>
      </w:r>
      <w:proofErr w:type="spellStart"/>
      <w:r>
        <w:rPr>
          <w:rFonts w:ascii="Times New Roman" w:hAnsi="Times New Roman"/>
          <w:sz w:val="28"/>
          <w:szCs w:val="28"/>
        </w:rPr>
        <w:t>алюкобонд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пр.).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тепла на отопление на 10 - 20%.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светодиодных источников для освещения мест общего пользования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массовые светодиодные источники достигли уровня эффективности люминесцентных ламп (светоотдача 70 - 80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светодиодных источников света есть и другие достоинства: длительный срок службы (до 100 тыс. часов), не содержат ртуть, отсутствие </w:t>
      </w:r>
      <w:r>
        <w:rPr>
          <w:rFonts w:ascii="Times New Roman" w:hAnsi="Times New Roman"/>
          <w:sz w:val="28"/>
          <w:szCs w:val="28"/>
        </w:rPr>
        <w:lastRenderedPageBreak/>
        <w:t>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5 - 8%.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 автоматического управления освещением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типов (микроволновые, акустические, инфракрасные). Эти простейшие (и достаточно дешевые) элементы автоматики позволяют сократить потребление электрической энергии на 8 - 10%.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истечении заданного времени.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5 - 10%.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люминесцентных светильников на светильники с электронным </w:t>
      </w:r>
      <w:proofErr w:type="spellStart"/>
      <w:r>
        <w:rPr>
          <w:rFonts w:ascii="Times New Roman" w:hAnsi="Times New Roman"/>
          <w:sz w:val="28"/>
          <w:szCs w:val="28"/>
        </w:rPr>
        <w:t>пуско-регулирующим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устройством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плановой замене </w:t>
      </w:r>
      <w:proofErr w:type="spellStart"/>
      <w:r>
        <w:rPr>
          <w:rFonts w:ascii="Times New Roman" w:hAnsi="Times New Roman"/>
          <w:sz w:val="28"/>
          <w:szCs w:val="28"/>
        </w:rPr>
        <w:t>пуско-регулирующих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электромагнитного типа (ЭМПРА) следует использовать электронные устройства (ЭПРА). Это позволяет снизить потребление светильником на 15 - 20%, улучшить качество света за счет устранения неприятных пульсаций. Ввиду небольшой стоимости </w:t>
      </w:r>
      <w:proofErr w:type="spellStart"/>
      <w:r>
        <w:rPr>
          <w:rFonts w:ascii="Times New Roman" w:hAnsi="Times New Roman"/>
          <w:sz w:val="28"/>
          <w:szCs w:val="28"/>
        </w:rPr>
        <w:t>пуско-регулирующей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аппаратуры срок окупаемости этого мероприятия не превышает 3-х лет.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ряде случаев целесообразно устанавливать ЭПРА с возможностью </w:t>
      </w:r>
      <w:proofErr w:type="spellStart"/>
      <w:r>
        <w:rPr>
          <w:rFonts w:ascii="Times New Roman" w:hAnsi="Times New Roman"/>
          <w:sz w:val="28"/>
          <w:szCs w:val="28"/>
        </w:rPr>
        <w:t>диммирования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(регулирования светового потока ламп). Существующие модели ЭПРА позволяют осуществлять </w:t>
      </w:r>
      <w:proofErr w:type="spellStart"/>
      <w:r>
        <w:rPr>
          <w:rFonts w:ascii="Times New Roman" w:hAnsi="Times New Roman"/>
          <w:sz w:val="28"/>
          <w:szCs w:val="28"/>
        </w:rPr>
        <w:t>диммирование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прокладки дополнительных проводов.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5 - 10%.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энергосбережения и повышения энергетической эффективности относительно зданий, строений и сооружений, находящихся в ведении муниципальных органов исполнительной власти, осуществляется и оплачивается в соответствии с бюджетным законодательством Российской Федерации и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 размещении заказов.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 расходов на устранение выявленного несоответствия.</w:t>
      </w: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реализацию программных мероприятий рассчитываются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мероприятий, определенных исходя из натурных измерений.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направленных на повышение эффективности использования ресурсов коммерческими предприятиями, организациями, коммунально-бытовыми потребителями и иными субъектами различных видов собственности и организационно-правовых форм, из краевого и муниципального 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реализацию мероприятий Программы сель</w:t>
      </w:r>
      <w:r w:rsidR="00EF799F">
        <w:rPr>
          <w:rFonts w:ascii="Times New Roman" w:hAnsi="Times New Roman"/>
          <w:sz w:val="28"/>
          <w:szCs w:val="28"/>
        </w:rPr>
        <w:t>ского поселения на период до 2020</w:t>
      </w:r>
      <w:r>
        <w:rPr>
          <w:rFonts w:ascii="Times New Roman" w:hAnsi="Times New Roman"/>
          <w:sz w:val="28"/>
          <w:szCs w:val="28"/>
        </w:rPr>
        <w:t xml:space="preserve"> года потребуется </w:t>
      </w:r>
      <w:r w:rsidR="00EF799F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управление реализацией Программы осуществляет администрация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</w:t>
      </w:r>
      <w:r w:rsidR="00EF799F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</w:t>
      </w:r>
      <w:r w:rsidR="00EF799F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реализует функции заказчика Программы во взаимодействии с заинтересованными органами исполнительной власти Хабаровского края 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Взаимоотношения администрации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</w:t>
      </w:r>
      <w:r w:rsidR="00EF799F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с заказчиками и исполнителями программных мероприятий осуществляются на договорной основе в соответствии с требованиями Федерального </w:t>
      </w:r>
      <w:hyperlink r:id="rId16" w:history="1">
        <w:r w:rsidRPr="00EF7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21.07.2005 № </w:t>
      </w:r>
      <w:r>
        <w:rPr>
          <w:rFonts w:ascii="Times New Roman" w:hAnsi="Times New Roman"/>
          <w:sz w:val="28"/>
          <w:szCs w:val="28"/>
        </w:rPr>
        <w:lastRenderedPageBreak/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социально-экономической эффективности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потребления..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разработки Программы проведен анализ и рассмотрены основные неблагоприятные факторы на пути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, а также возможные решения - законодательные или организационные инициативы, которые необходимы для устранения данных барьеров.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осознание значимости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невысокий уровень осведомленности потребителей и поставщиков энергоресурсов и коммунальных услуг. Преодоление данного барьера возможно посредством информационной политики, стимулирующей рациональное использование энергоресурсов.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синхронизации между мероприятиями по повышению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потребителями и производителями энергоресурсов. При сокращении потребления ресурсов и услуг, вызванное реализацией мер по энергосбережению, будет опережать модернизацию и повышение эффективности поставщиков энергоресурсов и услуг, возможно снижение их рентабельности в результате фактического сокращения поступления финансовых средств, предусмотренных утвержденными тарифами. Для того чтобы избежать возникновения данного фактора, модернизация коммунальной инфраструктуры должна опережать внедрение ресурсосберегающих технологий в системах потребления.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кризисных явлений, в результате чего возможно недостаточное бюджетное финансирование, направленное на повышение энергетической эффективности, в рамках объемов, предусмотренных Программой, в результате возможно не достижение плановых показателей Программы. В данном случае необходима корректировка Программы с учетом фактической возможности бюджетов.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Мониторинг реализации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контроля над выполнением мероприятий </w:t>
      </w:r>
      <w:r>
        <w:rPr>
          <w:rFonts w:ascii="Times New Roman" w:hAnsi="Times New Roman"/>
          <w:sz w:val="28"/>
          <w:szCs w:val="28"/>
        </w:rPr>
        <w:lastRenderedPageBreak/>
        <w:t>Программы, оценки эффективности, выделения и тиражирования лучшего опыта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:rsidR="00D26309" w:rsidRDefault="00D26309" w:rsidP="00D26309">
      <w:pPr>
        <w:jc w:val="center"/>
      </w:pPr>
      <w:r>
        <w:t>__________________</w:t>
      </w:r>
    </w:p>
    <w:p w:rsidR="00A25E23" w:rsidRDefault="00A25E23"/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</w:t>
      </w:r>
      <w:r w:rsidRPr="00533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</w:t>
      </w:r>
    </w:p>
    <w:p w:rsidR="00533E60" w:rsidRP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E60" w:rsidRDefault="00533E60" w:rsidP="00533E60">
      <w:pPr>
        <w:pStyle w:val="ConsPlusNormal"/>
        <w:widowControl/>
        <w:spacing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33E60" w:rsidRDefault="00533E60" w:rsidP="00533E60">
      <w:pPr>
        <w:pStyle w:val="ConsPlusTitle"/>
        <w:spacing w:line="240" w:lineRule="exact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«Энергосбережение и повышение </w:t>
      </w:r>
    </w:p>
    <w:p w:rsidR="00533E60" w:rsidRDefault="00533E60" w:rsidP="00533E60">
      <w:pPr>
        <w:pStyle w:val="ConsPlusTitle"/>
        <w:spacing w:line="240" w:lineRule="exact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энергетической эффективности</w:t>
      </w:r>
    </w:p>
    <w:p w:rsidR="00533E60" w:rsidRDefault="00533E60" w:rsidP="00533E60">
      <w:pPr>
        <w:pStyle w:val="ConsPlusTitle"/>
        <w:spacing w:line="240" w:lineRule="exact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Куканского сельского поселения  </w:t>
      </w:r>
    </w:p>
    <w:p w:rsidR="00533E60" w:rsidRDefault="00533E60" w:rsidP="00533E60">
      <w:pPr>
        <w:pStyle w:val="ConsPlusTitle"/>
        <w:spacing w:line="240" w:lineRule="exact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2018 - 2020 годы»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 муниципальной Программы "Энергосбережение и повышение  энергетической эффективности на территории Куканского сельского поселения на 2018-2020 годы"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Style w:val="a4"/>
        <w:tblW w:w="0" w:type="auto"/>
        <w:tblLook w:val="01E0"/>
      </w:tblPr>
      <w:tblGrid>
        <w:gridCol w:w="704"/>
        <w:gridCol w:w="3300"/>
        <w:gridCol w:w="1633"/>
        <w:gridCol w:w="1800"/>
        <w:gridCol w:w="2133"/>
      </w:tblGrid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pStyle w:val="ConsPlusNormal"/>
              <w:widowControl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pStyle w:val="ConsPlusNormal"/>
              <w:widowControl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pStyle w:val="ConsPlusNormal"/>
              <w:widowControl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33E60" w:rsidRPr="00533E60" w:rsidRDefault="00533E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60" w:rsidRPr="00533E60" w:rsidRDefault="00533E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533E60" w:rsidRPr="00533E60" w:rsidRDefault="00533E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Утепление фасада здания администрации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 на пластиковые в здании администрации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       </w:t>
            </w:r>
            <w:r w:rsidRPr="00533E60">
              <w:rPr>
                <w:rFonts w:ascii="Times New Roman" w:hAnsi="Times New Roman" w:cs="Times New Roman"/>
                <w:sz w:val="28"/>
                <w:szCs w:val="28"/>
              </w:rPr>
              <w:br/>
              <w:t>энергосберегающими лампами в здании администрации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</w:tbl>
    <w:p w:rsidR="00533E60" w:rsidRDefault="00533E60"/>
    <w:p w:rsidR="00533E60" w:rsidRDefault="00533E60"/>
    <w:p w:rsidR="00533E60" w:rsidRDefault="00533E60" w:rsidP="00533E60">
      <w:pPr>
        <w:jc w:val="center"/>
      </w:pPr>
      <w:r>
        <w:t>__________________</w:t>
      </w:r>
    </w:p>
    <w:sectPr w:rsidR="00533E60" w:rsidSect="00533E60">
      <w:headerReference w:type="default" r:id="rId17"/>
      <w:footerReference w:type="default" r:id="rId18"/>
      <w:pgSz w:w="11906" w:h="16838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6A" w:rsidRDefault="00284B6A" w:rsidP="00533E60">
      <w:r>
        <w:separator/>
      </w:r>
    </w:p>
  </w:endnote>
  <w:endnote w:type="continuationSeparator" w:id="0">
    <w:p w:rsidR="00284B6A" w:rsidRDefault="00284B6A" w:rsidP="0053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01469"/>
      <w:docPartObj>
        <w:docPartGallery w:val="Page Numbers (Bottom of Page)"/>
        <w:docPartUnique/>
      </w:docPartObj>
    </w:sdtPr>
    <w:sdtContent>
      <w:p w:rsidR="00533E60" w:rsidRDefault="00065623">
        <w:pPr>
          <w:pStyle w:val="a7"/>
          <w:jc w:val="center"/>
        </w:pPr>
        <w:fldSimple w:instr=" PAGE   \* MERGEFORMAT ">
          <w:r w:rsidR="00013F7F">
            <w:rPr>
              <w:noProof/>
            </w:rPr>
            <w:t>8</w:t>
          </w:r>
        </w:fldSimple>
      </w:p>
    </w:sdtContent>
  </w:sdt>
  <w:p w:rsidR="00533E60" w:rsidRDefault="00533E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6A" w:rsidRDefault="00284B6A" w:rsidP="00533E60">
      <w:r>
        <w:separator/>
      </w:r>
    </w:p>
  </w:footnote>
  <w:footnote w:type="continuationSeparator" w:id="0">
    <w:p w:rsidR="00284B6A" w:rsidRDefault="00284B6A" w:rsidP="0053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01470"/>
      <w:docPartObj>
        <w:docPartGallery w:val="Page Numbers (Top of Page)"/>
        <w:docPartUnique/>
      </w:docPartObj>
    </w:sdtPr>
    <w:sdtContent>
      <w:p w:rsidR="00533E60" w:rsidRDefault="00065623">
        <w:pPr>
          <w:pStyle w:val="a5"/>
          <w:jc w:val="center"/>
        </w:pPr>
        <w:fldSimple w:instr=" PAGE   \* MERGEFORMAT ">
          <w:r w:rsidR="00013F7F">
            <w:rPr>
              <w:noProof/>
            </w:rPr>
            <w:t>8</w:t>
          </w:r>
        </w:fldSimple>
      </w:p>
    </w:sdtContent>
  </w:sdt>
  <w:p w:rsidR="00533E60" w:rsidRDefault="00533E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09"/>
    <w:rsid w:val="00013F7F"/>
    <w:rsid w:val="00065623"/>
    <w:rsid w:val="00070FE4"/>
    <w:rsid w:val="00284B6A"/>
    <w:rsid w:val="002E713B"/>
    <w:rsid w:val="00303D15"/>
    <w:rsid w:val="004607D6"/>
    <w:rsid w:val="00533E60"/>
    <w:rsid w:val="008E24B3"/>
    <w:rsid w:val="00A23789"/>
    <w:rsid w:val="00A25E23"/>
    <w:rsid w:val="00A52068"/>
    <w:rsid w:val="00AF49E3"/>
    <w:rsid w:val="00C35D3C"/>
    <w:rsid w:val="00D26309"/>
    <w:rsid w:val="00E46587"/>
    <w:rsid w:val="00EF799F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9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309"/>
    <w:rPr>
      <w:color w:val="0000FF"/>
      <w:u w:val="single"/>
    </w:rPr>
  </w:style>
  <w:style w:type="paragraph" w:customStyle="1" w:styleId="ConsPlusTitle">
    <w:name w:val="ConsPlusTitle"/>
    <w:rsid w:val="00D26309"/>
    <w:pPr>
      <w:suppressAutoHyphens/>
      <w:autoSpaceDE w:val="0"/>
    </w:pPr>
    <w:rPr>
      <w:rFonts w:ascii="Calibri" w:eastAsia="Calibri" w:hAnsi="Calibri" w:cs="Calibri"/>
      <w:b/>
      <w:bCs/>
      <w:kern w:val="1"/>
      <w:lang w:eastAsia="ar-SA"/>
    </w:rPr>
  </w:style>
  <w:style w:type="paragraph" w:customStyle="1" w:styleId="ConsPlusNonformat">
    <w:name w:val="ConsPlusNonformat"/>
    <w:rsid w:val="00D26309"/>
    <w:pPr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33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533E6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3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E6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533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E6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380;fld=134;dst=100009" TargetMode="External"/><Relationship Id="rId13" Type="http://schemas.openxmlformats.org/officeDocument/2006/relationships/hyperlink" Target="consultantplus://offline/main?base=LAW;n=102066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74;fld=134" TargetMode="External"/><Relationship Id="rId12" Type="http://schemas.openxmlformats.org/officeDocument/2006/relationships/hyperlink" Target="consultantplus://offline/main?base=LAW;n=112413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3353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66;fld=134;dst=100070" TargetMode="External"/><Relationship Id="rId11" Type="http://schemas.openxmlformats.org/officeDocument/2006/relationships/hyperlink" Target="consultantplus://offline/main?base=LAW;n=108474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02066;fld=134" TargetMode="External"/><Relationship Id="rId10" Type="http://schemas.openxmlformats.org/officeDocument/2006/relationships/hyperlink" Target="consultantplus://offline/main?base=LAW;n=102066;fld=134;dst=10007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066;fld=134;dst=100070" TargetMode="External"/><Relationship Id="rId14" Type="http://schemas.openxmlformats.org/officeDocument/2006/relationships/hyperlink" Target="consultantplus://offline/main?base=LAW;n=105309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2018-01-31T04:54:00Z</dcterms:created>
  <dcterms:modified xsi:type="dcterms:W3CDTF">2018-02-02T01:20:00Z</dcterms:modified>
</cp:coreProperties>
</file>